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23F11" w14:textId="77777777" w:rsidR="003D1EB3" w:rsidRDefault="003D1EB3" w:rsidP="0050534E">
      <w:pPr>
        <w:spacing w:after="0"/>
        <w:jc w:val="right"/>
      </w:pPr>
      <w:r w:rsidRPr="00864051">
        <w:rPr>
          <w:rFonts w:ascii="Verdana" w:hAnsi="Verdana"/>
          <w:noProof/>
          <w:sz w:val="16"/>
          <w:lang w:eastAsia="pl-PL"/>
        </w:rPr>
        <w:drawing>
          <wp:anchor distT="0" distB="0" distL="114300" distR="114300" simplePos="0" relativeHeight="251658240" behindDoc="0" locked="0" layoutInCell="1" allowOverlap="1" wp14:anchorId="26B231AD" wp14:editId="1D2882AE">
            <wp:simplePos x="0" y="0"/>
            <wp:positionH relativeFrom="margin">
              <wp:posOffset>1270</wp:posOffset>
            </wp:positionH>
            <wp:positionV relativeFrom="paragraph">
              <wp:posOffset>-598805</wp:posOffset>
            </wp:positionV>
            <wp:extent cx="5760000" cy="712800"/>
            <wp:effectExtent l="0" t="0" r="0" b="0"/>
            <wp:wrapNone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adriana.witkowska\Desktop\LOGOTYPY\logotypy\EFRR achromatyczny poziom sc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EA6C76" w14:textId="5664A673" w:rsidR="0050534E" w:rsidRPr="0050534E" w:rsidRDefault="0023311E" w:rsidP="0050534E">
      <w:pPr>
        <w:spacing w:after="0"/>
        <w:jc w:val="right"/>
      </w:pPr>
      <w:r>
        <w:t>6.4</w:t>
      </w:r>
      <w:r w:rsidR="0050534E" w:rsidRPr="0050534E">
        <w:t xml:space="preserve">.4 </w:t>
      </w:r>
      <w:r w:rsidR="003403F4">
        <w:t>–</w:t>
      </w:r>
      <w:r w:rsidR="0050534E" w:rsidRPr="0050534E">
        <w:t xml:space="preserve"> </w:t>
      </w:r>
      <w:r w:rsidR="0050534E" w:rsidRPr="009E01A8">
        <w:t>Za</w:t>
      </w:r>
      <w:r w:rsidR="003403F4" w:rsidRPr="009E01A8">
        <w:t>łącznik nr</w:t>
      </w:r>
      <w:r w:rsidR="0050534E" w:rsidRPr="009E01A8">
        <w:t xml:space="preserve"> 1</w:t>
      </w:r>
      <w:r w:rsidR="00A17A9F">
        <w:t xml:space="preserve"> </w:t>
      </w:r>
      <w:r w:rsidR="0050534E">
        <w:t>–</w:t>
      </w:r>
      <w:r w:rsidR="0050534E" w:rsidRPr="0050534E">
        <w:t xml:space="preserve"> </w:t>
      </w:r>
      <w:r w:rsidR="0050534E" w:rsidRPr="009E01A8">
        <w:rPr>
          <w:i/>
        </w:rPr>
        <w:t>Procedura monitorowania dochodu</w:t>
      </w:r>
      <w:r w:rsidR="00451E5A" w:rsidRPr="009E01A8">
        <w:rPr>
          <w:i/>
        </w:rPr>
        <w:t xml:space="preserve"> i mech</w:t>
      </w:r>
      <w:r w:rsidR="00F45C7C" w:rsidRPr="009E01A8">
        <w:rPr>
          <w:i/>
        </w:rPr>
        <w:t>a</w:t>
      </w:r>
      <w:r w:rsidR="00451E5A" w:rsidRPr="009E01A8">
        <w:rPr>
          <w:i/>
        </w:rPr>
        <w:t>nizm wycofania</w:t>
      </w:r>
    </w:p>
    <w:p w14:paraId="3C4F92F4" w14:textId="77777777" w:rsidR="0050534E" w:rsidRDefault="0050534E" w:rsidP="0050534E">
      <w:pPr>
        <w:spacing w:after="0"/>
        <w:jc w:val="right"/>
        <w:rPr>
          <w:b/>
        </w:rPr>
      </w:pPr>
    </w:p>
    <w:p w14:paraId="53C57B4C" w14:textId="77777777" w:rsidR="00E24BDC" w:rsidRPr="00E24BDC" w:rsidRDefault="0017735F" w:rsidP="00E24BDC">
      <w:pPr>
        <w:spacing w:after="0"/>
        <w:jc w:val="center"/>
        <w:rPr>
          <w:b/>
        </w:rPr>
      </w:pPr>
      <w:r>
        <w:rPr>
          <w:b/>
        </w:rPr>
        <w:t xml:space="preserve">Procedura monitorowania dochodu </w:t>
      </w:r>
    </w:p>
    <w:p w14:paraId="5A18040D" w14:textId="77777777" w:rsidR="00E24BDC" w:rsidRDefault="00E24BDC" w:rsidP="00B5168B">
      <w:pPr>
        <w:spacing w:after="0"/>
        <w:jc w:val="both"/>
      </w:pPr>
    </w:p>
    <w:p w14:paraId="666040B6" w14:textId="77777777" w:rsidR="006870F4" w:rsidRDefault="004F2AF6" w:rsidP="00B5168B">
      <w:pPr>
        <w:spacing w:after="0"/>
        <w:jc w:val="both"/>
      </w:pPr>
      <w:r>
        <w:t xml:space="preserve">Procedura określa metodologię monitorowania dochodu generowanego w ramach projektu. </w:t>
      </w:r>
      <w:r w:rsidR="00F45919">
        <w:t>Procedura została opracowana w oparciu o akta prawne i inne dokumenty</w:t>
      </w:r>
      <w:r>
        <w:t xml:space="preserve"> o charakterze wytycznych, których przestrzeganie jest obowiązkiem beneficjentów, tj.:</w:t>
      </w:r>
    </w:p>
    <w:p w14:paraId="159F65BB" w14:textId="77777777" w:rsidR="004F2AF6" w:rsidRDefault="004F2AF6" w:rsidP="00B5168B">
      <w:pPr>
        <w:spacing w:after="0"/>
        <w:jc w:val="both"/>
      </w:pPr>
      <w:r>
        <w:t>- rozporządzenie Parlamentu Europejskiego i Rady (UE) nr 1303/2013 z dnia 17 grudnia 2013 r.</w:t>
      </w:r>
      <w:r w:rsidR="00F93409">
        <w:t>,</w:t>
      </w:r>
    </w:p>
    <w:p w14:paraId="1F0E61B8" w14:textId="77777777" w:rsidR="004F2AF6" w:rsidRDefault="004F2AF6" w:rsidP="00B5168B">
      <w:pPr>
        <w:spacing w:after="0"/>
        <w:jc w:val="both"/>
      </w:pPr>
      <w:r>
        <w:t>- wytyczne w zakresie zagadnień związanych z przygotowaniem projektów inwestycyjnych, w tym projektów generujących dochód i projektów hybrydowych na lata 2014-2020</w:t>
      </w:r>
      <w:r w:rsidR="00F93409">
        <w:t>,</w:t>
      </w:r>
    </w:p>
    <w:p w14:paraId="05C79ED2" w14:textId="77777777" w:rsidR="004F2AF6" w:rsidRPr="00B82538" w:rsidRDefault="004F2AF6" w:rsidP="00B5168B">
      <w:pPr>
        <w:spacing w:after="0"/>
        <w:jc w:val="both"/>
        <w:rPr>
          <w:lang w:val="en-US"/>
        </w:rPr>
      </w:pPr>
      <w:r w:rsidRPr="00B82538">
        <w:rPr>
          <w:lang w:val="en-US"/>
        </w:rPr>
        <w:t>-</w:t>
      </w:r>
      <w:r w:rsidR="00B5168B" w:rsidRPr="00B82538">
        <w:rPr>
          <w:lang w:val="en-US"/>
        </w:rPr>
        <w:t xml:space="preserve"> </w:t>
      </w:r>
      <w:r w:rsidRPr="00B82538">
        <w:rPr>
          <w:lang w:val="en-US"/>
        </w:rPr>
        <w:t>Guide to Cost-benefit Analysis of Investment Project. Economic appraisal tool for Cohesion Policy 2014-2020.</w:t>
      </w:r>
    </w:p>
    <w:p w14:paraId="5624A2FF" w14:textId="77777777" w:rsidR="00B5168B" w:rsidRPr="00B82538" w:rsidRDefault="00B5168B" w:rsidP="00B5168B">
      <w:pPr>
        <w:spacing w:after="0"/>
        <w:jc w:val="both"/>
        <w:rPr>
          <w:lang w:val="en-US"/>
        </w:rPr>
      </w:pPr>
    </w:p>
    <w:p w14:paraId="568E0021" w14:textId="2EC9FC5E" w:rsidR="004F2AF6" w:rsidRDefault="00BF4689" w:rsidP="00C40409">
      <w:pPr>
        <w:jc w:val="both"/>
      </w:pPr>
      <w:r>
        <w:t>Wszystkie projekty niepodlegające wyłączeniu w związku z zastosowaniem art. 61 ust. 7 oraz 8 rozporządzenia 1303/1303 należą do kategorii, o której mowa w art. 61 ust. 6 ww. rozporządzenia i podlegają monitorowaniu dochodu.</w:t>
      </w:r>
      <w:r w:rsidR="007C4696">
        <w:t xml:space="preserve"> Dochód generowany przez projekt oznacza różnicę pomiędzy rzeczywistymi przychodami wygenerowanymi w okresie realizacji i kolejnych 3 lat po okresie realizacji projektu </w:t>
      </w:r>
      <w:r w:rsidR="00C871A8">
        <w:t xml:space="preserve">(lub do terminu na złożenie dokumentów dotyczących zamknięcia </w:t>
      </w:r>
      <w:r w:rsidR="00F40FCD">
        <w:t>RPO WSL</w:t>
      </w:r>
      <w:r w:rsidR="00C871A8">
        <w:t>), a rzeczywistymi kosztami ponoszonymi w okresie odniesienia obejmującego zarówno okres realizacji projektu, jak i okres po jego ukończeniu, tj. fazę inwestycyjną i operacyjną. Do obliczenia dochodu przyjmowane są faktyczne dane zarejestrowane w trakcie okresu realizacji projektu oraz w okresie jego trwałości (nie są to dane prognozowane).</w:t>
      </w:r>
    </w:p>
    <w:p w14:paraId="20A7D69F" w14:textId="515DBE7F" w:rsidR="0001203F" w:rsidRDefault="0001203F" w:rsidP="00C40409">
      <w:pPr>
        <w:jc w:val="both"/>
      </w:pPr>
      <w:r>
        <w:t>Beneficjenci są zobowiązani do informowania IP RPO WSL</w:t>
      </w:r>
      <w:r w:rsidR="70D5044D">
        <w:t>-ŚCP</w:t>
      </w:r>
      <w:r>
        <w:t xml:space="preserve"> o przychodach oraz kosztach związanych z funkcjonowaniem projektu zgodnie z </w:t>
      </w:r>
      <w:r w:rsidR="00192811">
        <w:t>zał. 1b do instrukcji wykonawczej nr 6.5.4.</w:t>
      </w:r>
      <w:r>
        <w:t xml:space="preserve"> W oparciu o ww. informacje </w:t>
      </w:r>
      <w:r w:rsidR="00B95629">
        <w:t>IP RPO WSL</w:t>
      </w:r>
      <w:r w:rsidR="0B3164C9">
        <w:t>-Ś</w:t>
      </w:r>
      <w:r w:rsidR="000F364C">
        <w:t>C</w:t>
      </w:r>
      <w:r w:rsidR="0B3164C9">
        <w:t>P</w:t>
      </w:r>
      <w:r w:rsidR="00B95629">
        <w:t xml:space="preserve"> weryfikuje czy projekt generuje dochód, tj. czy bieżąca wartość rzeczywistych przychodów przewyższa bieżącą wartość rzeczywistych kosztów projektu.</w:t>
      </w:r>
    </w:p>
    <w:p w14:paraId="61E14310" w14:textId="1461FC5C" w:rsidR="00B95629" w:rsidRDefault="00B95629" w:rsidP="00C40409">
      <w:pPr>
        <w:jc w:val="both"/>
      </w:pPr>
      <w:r>
        <w:t>Przychodem są wpływy środków pieniężnych z bezpośrednich wpłat dokonywanych przez użytkowników za towary i usługi zapewniane</w:t>
      </w:r>
      <w:r w:rsidR="009777C6">
        <w:t xml:space="preserve"> przez projekt wygenerowane w okresie realizacji projektu i w okresie do 3 lat po jego ukończeniu lub do terminu na złożenie dokumentów dotyczących zamknięcia RPO WSL.</w:t>
      </w:r>
      <w:r w:rsidR="000F7C65">
        <w:t xml:space="preserve"> Przychodem nie są wpływy niepochodzące od bezpośrednich użytkowników projektu i są traktowane jako przychód incydentalny, poza projektem – nie są brane pod uwagę w wyliczaniu dochodu generowanego przez projekt.</w:t>
      </w:r>
      <w:r w:rsidR="0039047D">
        <w:t xml:space="preserve"> Beneficjent jest zobowiązany do </w:t>
      </w:r>
      <w:r w:rsidR="008E24EA">
        <w:t>przekazania do IP RPO WSL</w:t>
      </w:r>
      <w:r w:rsidR="4C9EBAC8">
        <w:t>-ŚCP</w:t>
      </w:r>
      <w:r w:rsidR="008E24EA">
        <w:t xml:space="preserve"> przychodów </w:t>
      </w:r>
      <w:r w:rsidR="004336C0">
        <w:t>uzyskanych w ramach projektu w podziale na źródła pochodzenia (nie bierze się pod uwagę podatków pośrednich (VAT).</w:t>
      </w:r>
    </w:p>
    <w:p w14:paraId="19D6AA96" w14:textId="0E1B1052" w:rsidR="004A2271" w:rsidRDefault="00CD2503" w:rsidP="00C40409">
      <w:pPr>
        <w:jc w:val="both"/>
      </w:pPr>
      <w:r>
        <w:t xml:space="preserve">Za koszty projektu uznaje się wszelkie koszty niesfinansowane ze środków RPO WSL lub innych środków publicznych (w tym wkład własny </w:t>
      </w:r>
      <w:r w:rsidR="00317F69">
        <w:t>beneficjenta</w:t>
      </w:r>
      <w:r>
        <w:t xml:space="preserve"> do projektu). W katalog kosztów wchodzą koszty inwestycyjne realizacji projektu (wszystkie koszty niezbędne do zrealizowania projektu) oraz koszty operacyjne (wszystkie koszty związane z bieżącą działalnością i eksploatacją aktywów wytworzonych w ramach projektu).</w:t>
      </w:r>
      <w:r w:rsidR="004A2271">
        <w:t xml:space="preserve"> Koszty operacyjne obejmują koszty eksploatacji i utrzymania, koszty administracyjne i ogólne, koszty sprzedaży i dystrybucji, nakłady odtworzeniowe, zmiany w kapitale obrotowym netto</w:t>
      </w:r>
      <w:r w:rsidR="003F5B3C">
        <w:t xml:space="preserve"> (zmiany zapasów, należności krótkoterminowych, zobowiązań krótkoterminowych bezpośrednio związanych z eksploatacją projektu).</w:t>
      </w:r>
      <w:r w:rsidR="00F676CC">
        <w:t xml:space="preserve"> Do kosztów operacyjnych nie </w:t>
      </w:r>
      <w:r w:rsidR="00F676CC">
        <w:lastRenderedPageBreak/>
        <w:t>bierze się pod uwagę amortyzacji, rezerw na nieprzewidziane wydatki, kosztów kapitałowych.</w:t>
      </w:r>
      <w:r w:rsidR="00D34B7E">
        <w:t xml:space="preserve"> W przypadku kosztów ponoszonych na rzecz całego przedsiębiorstwa należy dokonać miarodajnego, proporcjonalnego</w:t>
      </w:r>
      <w:r w:rsidR="00937CBD">
        <w:t xml:space="preserve"> rozliczenia.</w:t>
      </w:r>
      <w:r w:rsidR="00597666">
        <w:t xml:space="preserve"> </w:t>
      </w:r>
      <w:r w:rsidR="005B5826">
        <w:t xml:space="preserve"> Wszystkie koszty związane z utrzymaniem trwałości projektu powinny zostać uwzględnione przy wyliczaniu kwoty dochodu, w tym związane z utrzymaniem nowych miejsc pracy.</w:t>
      </w:r>
      <w:r w:rsidR="00A87B84">
        <w:t xml:space="preserve"> </w:t>
      </w:r>
    </w:p>
    <w:p w14:paraId="5B5AF3F0" w14:textId="3F4DC46C" w:rsidR="00A87B84" w:rsidRDefault="00A87B84" w:rsidP="00C40409">
      <w:pPr>
        <w:jc w:val="both"/>
      </w:pPr>
      <w:r>
        <w:t>Zwrotowi podlega wartość dochodu przyporządkowana proporcjonalnie do udziału dofinansowania w łącznych kosztach projektu (tj. sumie kosztów kwalifikowalnych, kosztów niekwalifikowalnych oraz kosztów operacyjnych poniesionych w ciągu 3 lat od zakończenia projektu).</w:t>
      </w:r>
      <w:r w:rsidR="00226CD7">
        <w:t xml:space="preserve"> Zwrotowi podlega kumulatywny dochód</w:t>
      </w:r>
      <w:r w:rsidR="00AB7712">
        <w:t xml:space="preserve"> wygenerowany w okresie realizacji i w okresie do 3 lat po ukończeniu projektu.</w:t>
      </w:r>
      <w:r w:rsidR="00507C74">
        <w:t xml:space="preserve"> Po upływie 3 lat od zakończenia realizacji projektu IP RPO WSL</w:t>
      </w:r>
      <w:r w:rsidR="3B41B4AC">
        <w:t>-ŚCP</w:t>
      </w:r>
      <w:r w:rsidR="00507C74">
        <w:t xml:space="preserve"> na podstawie posiadanych informacji określa kwotę podlegającą zwrotowi.</w:t>
      </w:r>
      <w:r w:rsidR="00A94B33">
        <w:t xml:space="preserve"> Na tej podstawie IP RPO WSL</w:t>
      </w:r>
      <w:r w:rsidR="019A318B">
        <w:t>-ŚCP</w:t>
      </w:r>
      <w:r w:rsidR="00A94B33">
        <w:t xml:space="preserve"> zwraca się do beneficjenta z wezwaniem do zwrotu środków. Zwrotów dokonuje się do wysokości dofinansowania otrzymanego w ramach projektu.</w:t>
      </w:r>
    </w:p>
    <w:p w14:paraId="4B4D27E9" w14:textId="72A73E70" w:rsidR="0068600A" w:rsidRDefault="0068600A" w:rsidP="00C40409">
      <w:pPr>
        <w:jc w:val="both"/>
      </w:pPr>
      <w:r>
        <w:t xml:space="preserve">Na etapie </w:t>
      </w:r>
      <w:r w:rsidR="003D215A">
        <w:t xml:space="preserve">weryfikacji wniosków o płatność </w:t>
      </w:r>
      <w:r w:rsidR="004F5FD1">
        <w:t>i/lub</w:t>
      </w:r>
      <w:r w:rsidR="003D215A">
        <w:t xml:space="preserve"> </w:t>
      </w:r>
      <w:r>
        <w:t>kontroli realizacji projektu (w trakcie realizacji, na zakończenie realizacji oraz podczas trwałości projektu) IP RPO WSL</w:t>
      </w:r>
      <w:r w:rsidR="14ADD634">
        <w:t>-ŚCP</w:t>
      </w:r>
      <w:r>
        <w:t xml:space="preserve"> może kontrolować, czy Beneficjent weryfikuje występowanie i poziom dochodu.</w:t>
      </w:r>
    </w:p>
    <w:p w14:paraId="6A00FACC" w14:textId="77777777" w:rsidR="009A0C01" w:rsidRDefault="009A0C01" w:rsidP="009A0C01">
      <w:pPr>
        <w:jc w:val="center"/>
      </w:pPr>
      <w:r>
        <w:rPr>
          <w:b/>
        </w:rPr>
        <w:t>Mechanizm wycofania</w:t>
      </w:r>
    </w:p>
    <w:p w14:paraId="42A24631" w14:textId="77777777" w:rsidR="006D6940" w:rsidRDefault="009A0C01" w:rsidP="006D6940">
      <w:pPr>
        <w:jc w:val="both"/>
      </w:pPr>
      <w:r>
        <w:t xml:space="preserve">W celu minimalizacji ryzyka otrzymania nienależnych korzyści ze środków publicznych oraz zakłócenia konkurencji, </w:t>
      </w:r>
      <w:r w:rsidR="001D2A3A">
        <w:t xml:space="preserve">wprowadzono </w:t>
      </w:r>
      <w:r>
        <w:t xml:space="preserve">rozwiązania </w:t>
      </w:r>
      <w:r w:rsidR="00303B2E">
        <w:t xml:space="preserve">tzw. </w:t>
      </w:r>
      <w:r>
        <w:t>mechanizm wycofania (</w:t>
      </w:r>
      <w:proofErr w:type="spellStart"/>
      <w:r>
        <w:t>claw-back</w:t>
      </w:r>
      <w:proofErr w:type="spellEnd"/>
      <w:r>
        <w:t xml:space="preserve">), który gwarantuje, że w ramach projektu nie zachodzi ryzyko wystąpienia nadmiernego wynagrodzenia/rekompensaty, czy też innej nieuzasadnionej korzyści. Realizacja </w:t>
      </w:r>
      <w:r w:rsidR="00A1482A">
        <w:t>p</w:t>
      </w:r>
      <w:r>
        <w:t xml:space="preserve">rojektu i zmiany rynkowe mogą w określonych przypadkach spowodować konieczność zaprzestania dofinansowania kosztów świadczenia określonych usług ze środków publicznych. </w:t>
      </w:r>
      <w:r w:rsidR="006D6940">
        <w:t>Niedozwolona pomoc publiczna w tym zakresie podlega zwrotowi wraz z odsetkami.</w:t>
      </w:r>
    </w:p>
    <w:p w14:paraId="666B96B9" w14:textId="60AEED09" w:rsidR="0057535C" w:rsidRDefault="00FE582A" w:rsidP="0057535C">
      <w:pPr>
        <w:jc w:val="both"/>
      </w:pPr>
      <w:r>
        <w:t xml:space="preserve">Realizując projekt w oparciu o art. 56 GBER (pomoc inwestycyjna na infrastrukturę lokalną) Beneficjent jest zobowiązany do monitorowania, czy w projekcie występuje zysk, a jeśli występuje, do rejestrowania corocznie jego poziomu. </w:t>
      </w:r>
      <w:r w:rsidR="00957A59">
        <w:t>Beneficjent jest zobowiązany na koniec cyklu życia Projektu (okres amortyzacji zasadniczych aktywów, dominujących w projekcie, będących przedmiotem Projektu) do przedstawienia IP RPO WSL</w:t>
      </w:r>
      <w:r w:rsidR="3A7ABB0C">
        <w:t>-ŚCP</w:t>
      </w:r>
      <w:r w:rsidR="00957A59">
        <w:t xml:space="preserve"> informacji czy wystąpił zysk w projekcie w całym okresie obowiązywania umowy. W przypadku, gdy cykl życia Projektu jest dłuższy od wynikającego z umowy o dofinansowanie okresu trwałości projektu Beneficjent jest zobowiązany do przedłożenia do IP RPO WSL - ŚCP stosownej informacji również po upływie tego okresu. </w:t>
      </w:r>
      <w:r w:rsidR="00D10D41">
        <w:t>W</w:t>
      </w:r>
      <w:r w:rsidR="00957A59" w:rsidRPr="079FB1F4">
        <w:rPr>
          <w:rFonts w:cs="Arial"/>
          <w:sz w:val="18"/>
          <w:szCs w:val="18"/>
        </w:rPr>
        <w:t xml:space="preserve"> </w:t>
      </w:r>
      <w:r w:rsidR="00957A59">
        <w:t xml:space="preserve">przypadku, gdy kwota pomocy przekroczy różnicę między kosztami kwalifikowalnymi a zyskiem z inwestycji Beneficjent jest zobowiązany do zwrotu nadmiernego dofinansowania wraz z odsetkami naliczonymi na podstawie obowiązujących przepisów prawa (zasady dotyczące mechanizmu wycofania, o którym mowa w Rozporządzeniu Komisji (UE) nr 651/2014 stosuje się odpowiednio). IP RPO WSL - ŚCP może </w:t>
      </w:r>
      <w:r w:rsidR="00C15228">
        <w:t xml:space="preserve">również </w:t>
      </w:r>
      <w:r w:rsidR="00957A59">
        <w:t>wezwać Beneficjenta w dowolnym momencie cyklu życia Projektu do złożenia informacji odnośnie realizacji obowiązków.</w:t>
      </w:r>
      <w:r w:rsidR="0057535C">
        <w:t xml:space="preserve"> Powyższe </w:t>
      </w:r>
      <w:r w:rsidR="00D52013">
        <w:t>obowiązki m</w:t>
      </w:r>
      <w:r w:rsidR="00912CE8">
        <w:t>o</w:t>
      </w:r>
      <w:r w:rsidR="00D52013">
        <w:t>gą</w:t>
      </w:r>
      <w:r w:rsidR="00AF32F5">
        <w:t xml:space="preserve"> </w:t>
      </w:r>
      <w:r w:rsidR="0057535C">
        <w:t>podlega</w:t>
      </w:r>
      <w:r w:rsidR="00AF32F5">
        <w:t>ć</w:t>
      </w:r>
      <w:r w:rsidR="0057535C">
        <w:t xml:space="preserve"> weryfikacji na etapie weryfikacji wniosków o płatność i/lub kontroli realizacji projektu (w trakcie realizacji, na zakończenie realizacji oraz podczas trwałości projektu).</w:t>
      </w:r>
    </w:p>
    <w:p w14:paraId="488217A4" w14:textId="77777777" w:rsidR="00957A59" w:rsidRPr="00957A59" w:rsidRDefault="00957A59" w:rsidP="00957A59">
      <w:pPr>
        <w:jc w:val="both"/>
      </w:pPr>
    </w:p>
    <w:p w14:paraId="41D1BFA7" w14:textId="77777777" w:rsidR="009A0C01" w:rsidRDefault="00957A59" w:rsidP="00C40409">
      <w:pPr>
        <w:jc w:val="both"/>
      </w:pPr>
      <w:r w:rsidRPr="00957A59">
        <w:lastRenderedPageBreak/>
        <w:t>Jeżeli Beneficjent w celu zmaksymalizowania dotacji UE celowo nie ujawnił, nie doszacował dochodu lub nie monitoruje Projektu zgodnie z postanowieniami niniejszego paragrafu, sytuacja taka może zostać potraktowana jako nieprawidłowość.</w:t>
      </w:r>
    </w:p>
    <w:sectPr w:rsidR="009A0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33"/>
    <w:multiLevelType w:val="multilevel"/>
    <w:tmpl w:val="19BA7020"/>
    <w:name w:val="WW8Num51"/>
    <w:lvl w:ilvl="0">
      <w:start w:val="1"/>
      <w:numFmt w:val="decimal"/>
      <w:pStyle w:val="Ustp"/>
      <w:lvlText w:val="%1."/>
      <w:lvlJc w:val="left"/>
      <w:pPr>
        <w:tabs>
          <w:tab w:val="num" w:pos="357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spacing w:val="0"/>
        <w:kern w:val="2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0F"/>
    <w:rsid w:val="0001203F"/>
    <w:rsid w:val="000F364C"/>
    <w:rsid w:val="000F7C65"/>
    <w:rsid w:val="0017735F"/>
    <w:rsid w:val="00181B2F"/>
    <w:rsid w:val="00192811"/>
    <w:rsid w:val="001D2A3A"/>
    <w:rsid w:val="00226CD7"/>
    <w:rsid w:val="0023311E"/>
    <w:rsid w:val="00303B2E"/>
    <w:rsid w:val="00317F69"/>
    <w:rsid w:val="003403F4"/>
    <w:rsid w:val="00355DC0"/>
    <w:rsid w:val="00387140"/>
    <w:rsid w:val="0039047D"/>
    <w:rsid w:val="003D1EB3"/>
    <w:rsid w:val="003D215A"/>
    <w:rsid w:val="003F5B3C"/>
    <w:rsid w:val="004336C0"/>
    <w:rsid w:val="00451E5A"/>
    <w:rsid w:val="004A2271"/>
    <w:rsid w:val="004A6DD4"/>
    <w:rsid w:val="004F2AF6"/>
    <w:rsid w:val="004F5FD1"/>
    <w:rsid w:val="0050534E"/>
    <w:rsid w:val="00507C74"/>
    <w:rsid w:val="005455D2"/>
    <w:rsid w:val="0057535C"/>
    <w:rsid w:val="00597666"/>
    <w:rsid w:val="005B5826"/>
    <w:rsid w:val="0064494B"/>
    <w:rsid w:val="0068600A"/>
    <w:rsid w:val="006870F4"/>
    <w:rsid w:val="00687618"/>
    <w:rsid w:val="006D6940"/>
    <w:rsid w:val="0074746C"/>
    <w:rsid w:val="007C4696"/>
    <w:rsid w:val="007F70E6"/>
    <w:rsid w:val="00885883"/>
    <w:rsid w:val="008B28A0"/>
    <w:rsid w:val="008B5B54"/>
    <w:rsid w:val="008C2C02"/>
    <w:rsid w:val="008E24EA"/>
    <w:rsid w:val="00912CE8"/>
    <w:rsid w:val="0091540C"/>
    <w:rsid w:val="00937CBD"/>
    <w:rsid w:val="00957A59"/>
    <w:rsid w:val="009777C6"/>
    <w:rsid w:val="009A0C01"/>
    <w:rsid w:val="009D795C"/>
    <w:rsid w:val="009E01A8"/>
    <w:rsid w:val="009E080F"/>
    <w:rsid w:val="009E1D72"/>
    <w:rsid w:val="00A1482A"/>
    <w:rsid w:val="00A17A9F"/>
    <w:rsid w:val="00A87B84"/>
    <w:rsid w:val="00A94B33"/>
    <w:rsid w:val="00AB7712"/>
    <w:rsid w:val="00AD6FF7"/>
    <w:rsid w:val="00AF32F5"/>
    <w:rsid w:val="00B5168B"/>
    <w:rsid w:val="00B82538"/>
    <w:rsid w:val="00B95629"/>
    <w:rsid w:val="00BA5136"/>
    <w:rsid w:val="00BB154C"/>
    <w:rsid w:val="00BF4689"/>
    <w:rsid w:val="00C15228"/>
    <w:rsid w:val="00C23499"/>
    <w:rsid w:val="00C40409"/>
    <w:rsid w:val="00C42AA9"/>
    <w:rsid w:val="00C83CBC"/>
    <w:rsid w:val="00C871A8"/>
    <w:rsid w:val="00CA52E0"/>
    <w:rsid w:val="00CD2503"/>
    <w:rsid w:val="00CD5E35"/>
    <w:rsid w:val="00CF12EB"/>
    <w:rsid w:val="00D10D41"/>
    <w:rsid w:val="00D34B7E"/>
    <w:rsid w:val="00D52013"/>
    <w:rsid w:val="00D60A6E"/>
    <w:rsid w:val="00D74444"/>
    <w:rsid w:val="00DC6717"/>
    <w:rsid w:val="00DD0D34"/>
    <w:rsid w:val="00DF1242"/>
    <w:rsid w:val="00E24BDC"/>
    <w:rsid w:val="00E41E7E"/>
    <w:rsid w:val="00E61C35"/>
    <w:rsid w:val="00EA1B90"/>
    <w:rsid w:val="00F31954"/>
    <w:rsid w:val="00F40FCD"/>
    <w:rsid w:val="00F45919"/>
    <w:rsid w:val="00F45C7C"/>
    <w:rsid w:val="00F676CC"/>
    <w:rsid w:val="00F93409"/>
    <w:rsid w:val="00F966B1"/>
    <w:rsid w:val="00FE582A"/>
    <w:rsid w:val="019A318B"/>
    <w:rsid w:val="079FB1F4"/>
    <w:rsid w:val="0B3164C9"/>
    <w:rsid w:val="14ADD634"/>
    <w:rsid w:val="3A7ABB0C"/>
    <w:rsid w:val="3B41B4AC"/>
    <w:rsid w:val="4C9EBAC8"/>
    <w:rsid w:val="630EBBE7"/>
    <w:rsid w:val="65E96C4D"/>
    <w:rsid w:val="70D5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9B2F"/>
  <w15:chartTrackingRefBased/>
  <w15:docId w15:val="{FEB752AE-D1FE-46F1-8D0F-1036648B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E7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Tekstpodstawowy"/>
    <w:uiPriority w:val="99"/>
    <w:qFormat/>
    <w:rsid w:val="00E41E7E"/>
    <w:pPr>
      <w:numPr>
        <w:numId w:val="1"/>
      </w:numPr>
      <w:tabs>
        <w:tab w:val="clear" w:pos="357"/>
        <w:tab w:val="num" w:pos="360"/>
      </w:tabs>
      <w:suppressAutoHyphens/>
      <w:spacing w:before="120" w:line="240" w:lineRule="auto"/>
      <w:jc w:val="both"/>
    </w:pPr>
    <w:rPr>
      <w:rFonts w:ascii="Verdana" w:hAnsi="Verdana"/>
      <w:sz w:val="20"/>
      <w:szCs w:val="20"/>
      <w:lang w:val="x-none" w:eastAsia="ar-SA"/>
    </w:rPr>
  </w:style>
  <w:style w:type="character" w:customStyle="1" w:styleId="Odwoaniedokomentarza1">
    <w:name w:val="Odwołanie do komentarza1"/>
    <w:rsid w:val="00E41E7E"/>
    <w:rPr>
      <w:sz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1E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1E7E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25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5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538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5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538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5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4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993</Words>
  <Characters>5963</Characters>
  <Application>Microsoft Office Word</Application>
  <DocSecurity>0</DocSecurity>
  <Lines>49</Lines>
  <Paragraphs>13</Paragraphs>
  <ScaleCrop>false</ScaleCrop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monitorowania dochodu i mechanizm wycofania</dc:title>
  <dc:subject/>
  <dc:creator>krzysztof.lorenc@scp-slask.pl</dc:creator>
  <cp:keywords/>
  <dc:description/>
  <cp:lastModifiedBy>michal.mol</cp:lastModifiedBy>
  <cp:revision>96</cp:revision>
  <dcterms:created xsi:type="dcterms:W3CDTF">2019-10-17T08:56:00Z</dcterms:created>
  <dcterms:modified xsi:type="dcterms:W3CDTF">2021-07-21T05:45:00Z</dcterms:modified>
</cp:coreProperties>
</file>